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572</w:t>
      </w:r>
    </w:p>
    <w:p>
      <w:r>
        <w:t>Bundesgericht (BGE), 2001-10-15, DE</w:t>
      </w:r>
    </w:p>
    <w:p>
      <w:r>
        <w:rPr>
          <w:b/>
        </w:rPr>
        <w:t xml:space="preserve">Quelle: </w:t>
      </w:r>
      <w:r>
        <w:t>https://mcp.opencaselaw.ch/entscheid/bge_127 III 572</w:t>
      </w:r>
    </w:p>
    <w:p>
      <w:r>
        <w:t>FR: ATF 127 III 572</w:t>
      </w:r>
    </w:p>
    <w:p>
      <w:r>
        <w:t>IT: DTF 127 III 572</w:t>
      </w:r>
    </w:p>
    <w:p>
      <w:pPr>
        <w:pStyle w:val="Heading2"/>
      </w:pPr>
      <w:r>
        <w:t>Regeste</w:t>
      </w:r>
    </w:p>
    <w:p>
      <w:r>
        <w:t>Regeste Einkommenspfändung (Art. 93 Abs. 1 SchKG). Der Gläubiger, der die Pfändungsurkunde anfechten will, weil er mit dem Ermessensentscheid des Betreibungsamtes betreffend das Existenzminimum des Schuldners nicht einverstanden ist, hat innert zehn Tagen seit der Zustellung der Pfändungsurkunde Beschwerde zu erheben, auch wenn die Berechnung des Existenzminimums des Schuldners aus dieser Urkunde nicht ersichtlich ist. Es ist aber sinnvoll, dass das Betreibungsamt dem Gläubiger diese Berechnung mit der Pfändungsurkunde bekannt gibt (E. 3b u. c).</w:t>
      </w:r>
    </w:p>
    <w:p>
      <w:pPr>
        <w:pStyle w:val="Heading2"/>
      </w:pPr>
      <w:r>
        <w:t>Erwägungen</w:t>
      </w:r>
    </w:p>
    <w:p>
      <w:r>
        <w:rPr>
          <w:b/>
        </w:rPr>
        <w:t>E. 3</w:t>
      </w:r>
    </w:p>
    <w:p>
      <w:r>
        <w:t>b) Das Erwerbseinkommen ist insoweit pfändbar, als es nach Ermessen des Betreibungsamtes für den Schuldner und seine Familie nicht unbedingt notwendig ist ( Art. 93 Abs. 1 SchKG ). Die Nichtpfändung des Existenzminimums ist lediglich die negative Seite der Pfändung des pfändbaren Einkommens; die Verfügung über das nicht pfändbare Einkommen liegt für den Gläubiger in der Pfändungsurkunde, nicht in der nachträglich verlangten Notbedarfsberechnung, die vielmehr das Motiv zur Verfügung darstellt ( BGE 73 III 114 S. 115 f.). Um Rückfragen des Gläubigers und unnötige Beschwerden wenn möglich zu vermeiden und weil die Existenzminimumsberechnung ohnehin unentbehrlich ist, um eine Einkommenspfändung zu verfügen, ist es gerechtfertigt, dem Gläubiger mit der Pfändungsurkunde die Zusammensetzung des Existenzminimums des Schuldners bekannt zu geben; dies pflegen einige Betreibungsämter seit jeher zu tun (vgl. BGE 77 III 69 E. 2 S. 71). Der BGE 127 III 572 S. 575 Gläubiger hat indessen in jedem Fall - auch wenn ihm die Existenzminimumsberechnung nicht zugestellt wird - innert 10 Tagen Beschwerde gegen die Pfändungsurkunde zu erheben ( BGE 77 III 69 E. 3 S. 72; BGE 73 III 114 S. 117/118), wenn er mit der Ermessensbetätigung des Betreibungsamtes bei der Nichtpfändung des Existenzminimums des Schuldners nicht einverstanden ist (AMONN/GASSER, Grundriss des Schuldbetreibungs- und Konkursrechts, 6. Aufl. 1997, § 23 Rz. 61). Wenn die Vorinstanz für die Beschwerdegegnerin die Frist zur Beschwerdeführung gegen die Festsetzung des unpfändbaren Notbedarfs nicht vom Empfang der Pfändungsurkunde an laufen lässt, sondern vom Empfang der detaillierten Existenzminimumsberechnung, die beim Betreibungsamt verlangt wurde und am 1. November 2000 zuging, ist dies nicht haltbar. c) Die Vorinstanz ist in diesem Zusammenhang zu Unrecht davon ausgegangen, dass die Beschwerdegegnerin das mit der Pfändungsurkunde vom 17. Oktober 2000 mitgeteilte Existenzminimum nicht in Frage habe stellen können. Das Betreibungsamt und die kantonalen Aufsichtsbehörden (vgl. Art. 20a Abs. 2 Ziff. 2 SchKG ) haben von Amtes wegen die tatsächlichen Verhältnisse zu ermitteln, die für die Beschränkungen der Pfändbarkeit gemäss Art. 92 und 93 SchKG massgeblich sind ( BGE 112 III 79 E. 2 S. 80 mit Hinweisen), und im Beschwerdeverfahren hat das Betreibungsamt die Beträge zu rechtfertigen, auf welche es bei der Festlegung des pfändbaren Einkommens bzw. des Existenzminimums abgestellt hat (vgl. BGE 87 III 104 E. 2 S. 105; GILLIÉRON, Commentaire de la loi fédérale sur la poursuite pour dettes et la faillite, N. 176 zu Art. 93 SchKG ). Entgegen der Auffassung der Vorinstanz lässt sich auch aus dem Anspruch auf rechtliches Gehör kein anderer Fristbeginn ableiten: Wollte die Beschwerdegegnerin behaupten, der Pfändungsurkunde fehlten ohne die Existenzminimumsberechnung wesentliche Gesichtspunkte in der Entscheidbegründung (vgl. Art. 29 Abs. 2 BV ; BGE 126 I 97 E. 2b S. 102 mit Hinweisen), hätte sie gegen die Pfändungsurkunde im kantonalen Verfahren Betreibungsbeschwerde (vgl. vor Bundesgericht Art. 43 Abs. 1 i.V.m. Art. 81 OG ; BGE 121 III 24 E. 2d S. 28) erheben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